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2018年度新疆喀什地区英吉沙县环境保护局部门决算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县环境保护局落实国家环境保护基本制度；组织编制英吉沙县环境功能区划组织拟订英吉沙县重要饮用水水源地、重点区域、流域、地下水污染防治规划并监督实施；负责重大环境问题的统筹协调和监督管理；组织协调重大环境污染事故和生态破坏事件的调查处理；协调解决有关跨区域环境污染纠纷；承担落实英吉沙县减排目标的责任；执行国家主要污染物排放总量控制和排污许可证制度实施环境保护目标责任制、总量减排考核并公布考核结果；承担从源头上预防、控制环境污染和环境破坏的责任；负责环境污染防治的监督管理；协调、监督生态保护工作；负责环境监测和信息发布；组织、协调环境保护宣传教育工作等。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新疆喀什地区英吉沙县环境保护局</w:t>
      </w:r>
      <w:r>
        <w:rPr>
          <w:rFonts w:hint="eastAsia" w:ascii="仿宋_GB2312" w:eastAsia="仿宋_GB2312"/>
          <w:sz w:val="32"/>
          <w:szCs w:val="32"/>
        </w:rPr>
        <w:t>部门决算包括：</w:t>
      </w:r>
      <w:r>
        <w:rPr>
          <w:rFonts w:ascii="仿宋_GB2312" w:eastAsia="仿宋_GB2312"/>
          <w:sz w:val="32"/>
          <w:szCs w:val="32"/>
        </w:rPr>
        <w:t>新疆喀什地区英吉沙县环境保护局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新疆喀什地区英吉沙县环境保护局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新疆喀什地区英吉沙县环境保护局</w:t>
            </w:r>
          </w:p>
        </w:tc>
        <w:tc>
          <w:tcPr>
            <w:tcW w:w="2538" w:type="dxa"/>
            <w:vAlign w:val="center"/>
          </w:tcPr>
          <w:p>
            <w:pPr>
              <w:pageBreakBefore w:val="0"/>
              <w:spacing w:line="500" w:lineRule="exact"/>
              <w:ind w:firstLine="420" w:firstLineChars="200"/>
              <w:jc w:val="left"/>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2</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新疆喀什地区英吉沙县环境监察大队</w:t>
            </w:r>
          </w:p>
        </w:tc>
        <w:tc>
          <w:tcPr>
            <w:tcW w:w="2538" w:type="dxa"/>
            <w:vAlign w:val="center"/>
          </w:tcPr>
          <w:p>
            <w:pPr>
              <w:pageBreakBefore w:val="0"/>
              <w:spacing w:line="500" w:lineRule="exact"/>
              <w:ind w:firstLine="420" w:firstLineChars="200"/>
              <w:jc w:val="left"/>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3</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新疆喀什地区英吉沙县环境监测站</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500.16</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，与上年相比，减少48.81万元，下降8.89%，减少的主要原因是：</w:t>
      </w:r>
      <w:r>
        <w:rPr>
          <w:rFonts w:hint="eastAsia" w:ascii="仿宋_GB2312" w:eastAsia="仿宋_GB2312"/>
          <w:color w:val="000000" w:themeColor="text1"/>
          <w:sz w:val="32"/>
          <w:szCs w:val="32"/>
        </w:rPr>
        <w:t>2018年度不再征收排污费，取消征收排污费项目；</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619.19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，与上年相比，增加189.25万元，增长44.02%，增加的主要原因是：</w:t>
      </w:r>
      <w:r>
        <w:rPr>
          <w:rFonts w:hint="eastAsia" w:ascii="仿宋_GB2312" w:eastAsia="仿宋_GB2312"/>
          <w:color w:val="000000" w:themeColor="text1"/>
          <w:sz w:val="32"/>
          <w:szCs w:val="32"/>
        </w:rPr>
        <w:t>项目支出增加；</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，与上年相比，减少119.03万元，下降100%，减少的主要原因是：</w:t>
      </w:r>
      <w:r>
        <w:rPr>
          <w:rFonts w:ascii="仿宋_GB2312" w:eastAsia="仿宋_GB2312"/>
          <w:color w:val="000000" w:themeColor="text1"/>
          <w:sz w:val="32"/>
          <w:szCs w:val="32"/>
        </w:rPr>
        <w:t>上年度119.03万元为排污费返还，用于节能环保支出，本年度无结余。</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500.16</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450.23</w:t>
      </w:r>
      <w:r>
        <w:rPr>
          <w:rFonts w:hint="eastAsia" w:ascii="仿宋_GB2312" w:eastAsia="仿宋_GB2312"/>
          <w:color w:val="000000" w:themeColor="text1"/>
          <w:sz w:val="32"/>
          <w:szCs w:val="32"/>
        </w:rPr>
        <w:t>万元，占</w:t>
      </w:r>
      <w:r>
        <w:rPr>
          <w:rFonts w:hint="eastAsia" w:ascii="仿宋_GB2312" w:eastAsia="仿宋_GB2312"/>
          <w:sz w:val="32"/>
          <w:szCs w:val="32"/>
        </w:rPr>
        <w:t>90.02%</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49.93</w:t>
      </w:r>
      <w:r>
        <w:rPr>
          <w:rFonts w:hint="eastAsia" w:ascii="仿宋_GB2312" w:eastAsia="仿宋_GB2312"/>
          <w:color w:val="000000" w:themeColor="text1"/>
          <w:sz w:val="32"/>
          <w:szCs w:val="32"/>
        </w:rPr>
        <w:t>万元，占</w:t>
      </w:r>
      <w:r>
        <w:rPr>
          <w:rFonts w:hint="eastAsia" w:ascii="仿宋_GB2312" w:eastAsia="仿宋_GB2312"/>
          <w:sz w:val="32"/>
          <w:szCs w:val="32"/>
        </w:rPr>
        <w:t>9.98%</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况：本年收入年初预算数155.32万元</w:t>
      </w:r>
      <w:r>
        <w:rPr>
          <w:rFonts w:hint="eastAsia" w:ascii="仿宋_GB2312" w:eastAsia="仿宋_GB2312"/>
          <w:sz w:val="32"/>
          <w:szCs w:val="32"/>
        </w:rPr>
        <w:t>，决算数500.16万元</w:t>
      </w:r>
      <w:r>
        <w:rPr>
          <w:rFonts w:ascii="仿宋_GB2312" w:eastAsia="仿宋_GB2312"/>
          <w:sz w:val="32"/>
          <w:szCs w:val="32"/>
        </w:rPr>
        <w:t>，预决算差异率222.02%，差异主要原因是项目收入增加。</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619.19</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162.27</w:t>
      </w:r>
      <w:r>
        <w:rPr>
          <w:rFonts w:hint="eastAsia" w:ascii="仿宋_GB2312" w:eastAsia="仿宋_GB2312"/>
          <w:color w:val="000000" w:themeColor="text1"/>
          <w:sz w:val="32"/>
          <w:szCs w:val="32"/>
        </w:rPr>
        <w:t>万元，占</w:t>
      </w:r>
      <w:r>
        <w:rPr>
          <w:rFonts w:hint="eastAsia" w:ascii="仿宋_GB2312" w:eastAsia="仿宋_GB2312"/>
          <w:sz w:val="32"/>
          <w:szCs w:val="32"/>
        </w:rPr>
        <w:t>26.21%</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456.92</w:t>
      </w:r>
      <w:r>
        <w:rPr>
          <w:rFonts w:hint="eastAsia" w:ascii="仿宋_GB2312" w:eastAsia="仿宋_GB2312"/>
          <w:color w:val="000000" w:themeColor="text1"/>
          <w:sz w:val="32"/>
          <w:szCs w:val="32"/>
        </w:rPr>
        <w:t>万元，占</w:t>
      </w:r>
      <w:r>
        <w:rPr>
          <w:rFonts w:hint="eastAsia" w:ascii="仿宋_GB2312" w:eastAsia="仿宋_GB2312"/>
          <w:sz w:val="32"/>
          <w:szCs w:val="32"/>
        </w:rPr>
        <w:t>73.79%</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与年初预算数相比情况：本年支出年初预算数155.32万元，</w:t>
      </w:r>
      <w:r>
        <w:rPr>
          <w:rFonts w:hint="eastAsia" w:ascii="仿宋_GB2312" w:eastAsia="仿宋_GB2312"/>
          <w:sz w:val="32"/>
          <w:szCs w:val="32"/>
        </w:rPr>
        <w:t>决算数619.19万元</w:t>
      </w:r>
      <w:r>
        <w:rPr>
          <w:rFonts w:ascii="仿宋_GB2312" w:eastAsia="仿宋_GB2312"/>
          <w:sz w:val="32"/>
          <w:szCs w:val="32"/>
        </w:rPr>
        <w:t>，预决算差异率298.65%，差异主要原因是项目支出增加，以及人员工资福利支出增加。</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450.23</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，与上年相比，减少98.74万元，下降17.99%，减少的主要原因是：上年度有排污费返还收入，本年度无结余。</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569.26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，与上年相比，增加139.32万元，增长32.4%，增加的主要原因是：</w:t>
      </w:r>
      <w:r>
        <w:rPr>
          <w:rFonts w:ascii="仿宋_GB2312" w:eastAsia="仿宋_GB2312"/>
          <w:sz w:val="32"/>
          <w:szCs w:val="32"/>
        </w:rPr>
        <w:t>项目收入增加。</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162.27</w:t>
      </w:r>
      <w:r>
        <w:rPr>
          <w:rFonts w:hint="eastAsia" w:ascii="仿宋_GB2312" w:eastAsia="仿宋_GB2312"/>
          <w:color w:val="000000" w:themeColor="text1"/>
          <w:sz w:val="32"/>
          <w:szCs w:val="32"/>
        </w:rPr>
        <w:t>万元，项目支出</w:t>
      </w:r>
      <w:r>
        <w:rPr>
          <w:rFonts w:hint="eastAsia" w:ascii="仿宋_GB2312" w:eastAsia="仿宋_GB2312"/>
          <w:sz w:val="32"/>
          <w:szCs w:val="32"/>
        </w:rPr>
        <w:t>406.99</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，与上年相比，减少119.03万元，下降100%，减少的主要原因是：上年度119.03万元为排污费返还，用于节能环保支出，本年度无结余。</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155.32</w:t>
      </w:r>
      <w:r>
        <w:rPr>
          <w:rFonts w:hint="eastAsia" w:ascii="仿宋_GB2312" w:eastAsia="仿宋_GB2312"/>
          <w:color w:val="000000" w:themeColor="text1"/>
          <w:sz w:val="32"/>
          <w:szCs w:val="32"/>
        </w:rPr>
        <w:t>万元，决算数</w:t>
      </w:r>
      <w:r>
        <w:rPr>
          <w:rFonts w:hint="eastAsia" w:ascii="仿宋_GB2312" w:eastAsia="仿宋_GB2312"/>
          <w:sz w:val="32"/>
          <w:szCs w:val="32"/>
        </w:rPr>
        <w:t>450.23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，预决算差异率189.87%，差异主要原因是项目收入增加。</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155.32</w:t>
      </w:r>
      <w:r>
        <w:rPr>
          <w:rFonts w:hint="eastAsia" w:ascii="仿宋_GB2312" w:eastAsia="仿宋_GB2312"/>
          <w:color w:val="000000" w:themeColor="text1"/>
          <w:sz w:val="32"/>
          <w:szCs w:val="32"/>
        </w:rPr>
        <w:t>万元，决算数</w:t>
      </w:r>
      <w:r>
        <w:rPr>
          <w:rFonts w:hint="eastAsia" w:ascii="仿宋_GB2312" w:eastAsia="仿宋_GB2312"/>
          <w:sz w:val="32"/>
          <w:szCs w:val="32"/>
        </w:rPr>
        <w:t>569.26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，预决算差异率266.51%，差异主要原因是项目支出增加。</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450.23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，与上年相比，减少98.74万元，下降17.99%，减少的主要原因是：上年度有排污费返还收入，本年度无结余。</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569.26</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，与上年相比，增加139.32万元，增长32.4%，增加的主要原因是：项目支出增加，以及人员工资福利支出增加。</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住房保障支出10.04万元,节能环保支出543.53万元,社会保障和就业支出15.69万元。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工资福利支出145.35万元,商品和服务支出10.24万元,对个人和家庭的补助6.68万元,资本性支出406.99万元。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155.32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450.23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，预决算差异率189.87%，差异主要原因是项目收入增加。</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155.32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569.26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，预决算差异率266.51%，差异主要原因是项目支出增加，以及人员工资福利支出增加。</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，与上年相比无变化，主要原因是：本单位无此项预算安排。</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，与上年相比无变化，主要原因是：本单位无此项预算安排。</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，预决算差异率0%，差异主要原因是本单位无此项预算安排。</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，预决算差异率0%，差异主要原因是本单位无此项预算安排。</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。与上年相比，减少119.03万元，下降100%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。与上年相比，减少119.03万元，下降100%。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1.3</w:t>
      </w:r>
      <w:r>
        <w:rPr>
          <w:rFonts w:hint="eastAsia" w:ascii="仿宋_GB2312" w:eastAsia="仿宋_GB2312"/>
          <w:color w:val="000000" w:themeColor="text1"/>
          <w:sz w:val="32"/>
          <w:szCs w:val="32"/>
        </w:rPr>
        <w:t>万元</w:t>
      </w:r>
      <w:r>
        <w:rPr>
          <w:rFonts w:hint="eastAsia" w:ascii="仿宋_GB2312" w:eastAsia="仿宋_GB2312"/>
          <w:sz w:val="32"/>
          <w:szCs w:val="32"/>
        </w:rPr>
        <w:t>，</w:t>
      </w:r>
      <w:r>
        <w:rPr>
          <w:rFonts w:hint="eastAsia" w:ascii="仿宋_GB2312" w:eastAsia="仿宋_GB2312"/>
          <w:sz w:val="32"/>
          <w:szCs w:val="32"/>
          <w:lang w:eastAsia="zh-CN"/>
        </w:rPr>
        <w:t>比</w:t>
      </w:r>
      <w:r>
        <w:rPr>
          <w:rFonts w:hint="eastAsia" w:ascii="仿宋_GB2312" w:eastAsia="仿宋_GB2312"/>
          <w:sz w:val="32"/>
          <w:szCs w:val="32"/>
        </w:rPr>
        <w:t>上年</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w:t>
      </w:r>
      <w:r>
        <w:rPr>
          <w:rFonts w:hint="eastAsia" w:ascii="仿宋_GB2312" w:eastAsia="仿宋_GB2312"/>
          <w:sz w:val="32"/>
          <w:szCs w:val="32"/>
        </w:rPr>
        <w:t>，</w:t>
      </w:r>
      <w:r>
        <w:rPr>
          <w:rFonts w:hint="eastAsia" w:ascii="仿宋_GB2312" w:eastAsia="仿宋_GB2312"/>
          <w:sz w:val="32"/>
          <w:szCs w:val="32"/>
          <w:lang w:eastAsia="zh-CN"/>
        </w:rPr>
        <w:t>增长</w:t>
      </w:r>
      <w:r>
        <w:rPr>
          <w:rFonts w:hint="eastAsia" w:ascii="仿宋_GB2312" w:eastAsia="仿宋_GB2312"/>
          <w:sz w:val="32"/>
          <w:szCs w:val="32"/>
          <w:lang w:val="en-US" w:eastAsia="zh-CN"/>
        </w:rPr>
        <w:t>0%，增加</w:t>
      </w:r>
      <w:r>
        <w:rPr>
          <w:rFonts w:hint="eastAsia" w:ascii="仿宋_GB2312" w:eastAsia="仿宋_GB2312"/>
          <w:sz w:val="32"/>
          <w:szCs w:val="32"/>
        </w:rPr>
        <w:t>原因是严格执行“三公”经费只减不增的要求。</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比</w:t>
      </w:r>
      <w:r>
        <w:rPr>
          <w:rFonts w:hint="eastAsia" w:ascii="仿宋_GB2312" w:eastAsia="仿宋_GB2312"/>
          <w:sz w:val="32"/>
          <w:szCs w:val="32"/>
        </w:rPr>
        <w:t>上年</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w:t>
      </w:r>
      <w:r>
        <w:rPr>
          <w:rFonts w:hint="eastAsia" w:ascii="仿宋_GB2312" w:eastAsia="仿宋_GB2312"/>
          <w:sz w:val="32"/>
          <w:szCs w:val="32"/>
        </w:rPr>
        <w:t>，</w:t>
      </w:r>
      <w:r>
        <w:rPr>
          <w:rFonts w:hint="eastAsia" w:ascii="仿宋_GB2312" w:eastAsia="仿宋_GB2312"/>
          <w:sz w:val="32"/>
          <w:szCs w:val="32"/>
          <w:lang w:eastAsia="zh-CN"/>
        </w:rPr>
        <w:t>增长</w:t>
      </w:r>
      <w:r>
        <w:rPr>
          <w:rFonts w:hint="eastAsia" w:ascii="仿宋_GB2312" w:eastAsia="仿宋_GB2312"/>
          <w:sz w:val="32"/>
          <w:szCs w:val="32"/>
          <w:lang w:val="en-US" w:eastAsia="zh-CN"/>
        </w:rPr>
        <w:t>0%，</w:t>
      </w:r>
      <w:r>
        <w:rPr>
          <w:rFonts w:hint="eastAsia" w:ascii="仿宋_GB2312" w:eastAsia="仿宋_GB2312"/>
          <w:sz w:val="32"/>
          <w:szCs w:val="32"/>
          <w:lang w:eastAsia="zh-CN"/>
        </w:rPr>
        <w:t>增加</w:t>
      </w:r>
      <w:r>
        <w:rPr>
          <w:rFonts w:hint="eastAsia" w:ascii="仿宋_GB2312" w:eastAsia="仿宋_GB2312"/>
          <w:sz w:val="32"/>
          <w:szCs w:val="32"/>
        </w:rPr>
        <w:t>原因是本单位无此项预算安排；</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1.3</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sz w:val="32"/>
          <w:szCs w:val="32"/>
          <w:lang w:eastAsia="zh-CN"/>
        </w:rPr>
        <w:t>比</w:t>
      </w:r>
      <w:r>
        <w:rPr>
          <w:rFonts w:hint="eastAsia" w:ascii="仿宋_GB2312" w:eastAsia="仿宋_GB2312"/>
          <w:sz w:val="32"/>
          <w:szCs w:val="32"/>
        </w:rPr>
        <w:t>上年</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w:t>
      </w:r>
      <w:r>
        <w:rPr>
          <w:rFonts w:hint="eastAsia" w:ascii="仿宋_GB2312" w:eastAsia="仿宋_GB2312"/>
          <w:sz w:val="32"/>
          <w:szCs w:val="32"/>
        </w:rPr>
        <w:t>，</w:t>
      </w:r>
      <w:r>
        <w:rPr>
          <w:rFonts w:hint="eastAsia" w:ascii="仿宋_GB2312" w:eastAsia="仿宋_GB2312"/>
          <w:sz w:val="32"/>
          <w:szCs w:val="32"/>
          <w:lang w:eastAsia="zh-CN"/>
        </w:rPr>
        <w:t>增长</w:t>
      </w:r>
      <w:r>
        <w:rPr>
          <w:rFonts w:hint="eastAsia" w:ascii="仿宋_GB2312" w:eastAsia="仿宋_GB2312"/>
          <w:sz w:val="32"/>
          <w:szCs w:val="32"/>
          <w:lang w:val="en-US" w:eastAsia="zh-CN"/>
        </w:rPr>
        <w:t>0%，</w:t>
      </w:r>
      <w:r>
        <w:rPr>
          <w:rFonts w:hint="eastAsia" w:ascii="仿宋_GB2312" w:eastAsia="仿宋_GB2312"/>
          <w:sz w:val="32"/>
          <w:szCs w:val="32"/>
          <w:lang w:eastAsia="zh-CN"/>
        </w:rPr>
        <w:t>增加</w:t>
      </w:r>
      <w:r>
        <w:rPr>
          <w:rFonts w:hint="eastAsia" w:ascii="仿宋_GB2312" w:eastAsia="仿宋_GB2312"/>
          <w:sz w:val="32"/>
          <w:szCs w:val="32"/>
        </w:rPr>
        <w:t>原因是严格执行“三公”经费只减不增的要求；</w:t>
      </w:r>
      <w:bookmarkEnd w:id="61"/>
      <w:bookmarkStart w:id="62" w:name="OLE_LINK32"/>
      <w:bookmarkStart w:id="63" w:name="OLE_LINK77"/>
      <w:bookmarkStart w:id="64" w:name="OLE_LINK78"/>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比</w:t>
      </w:r>
      <w:r>
        <w:rPr>
          <w:rFonts w:hint="eastAsia" w:ascii="仿宋_GB2312" w:eastAsia="仿宋_GB2312"/>
          <w:sz w:val="32"/>
          <w:szCs w:val="32"/>
        </w:rPr>
        <w:t>上年</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w:t>
      </w:r>
      <w:r>
        <w:rPr>
          <w:rFonts w:hint="eastAsia" w:ascii="仿宋_GB2312" w:eastAsia="仿宋_GB2312"/>
          <w:sz w:val="32"/>
          <w:szCs w:val="32"/>
        </w:rPr>
        <w:t>，</w:t>
      </w:r>
      <w:r>
        <w:rPr>
          <w:rFonts w:hint="eastAsia" w:ascii="仿宋_GB2312" w:eastAsia="仿宋_GB2312"/>
          <w:sz w:val="32"/>
          <w:szCs w:val="32"/>
          <w:lang w:eastAsia="zh-CN"/>
        </w:rPr>
        <w:t>增长</w:t>
      </w:r>
      <w:r>
        <w:rPr>
          <w:rFonts w:hint="eastAsia" w:ascii="仿宋_GB2312" w:eastAsia="仿宋_GB2312"/>
          <w:sz w:val="32"/>
          <w:szCs w:val="32"/>
          <w:lang w:val="en-US" w:eastAsia="zh-CN"/>
        </w:rPr>
        <w:t>0%，</w:t>
      </w:r>
      <w:r>
        <w:rPr>
          <w:rFonts w:hint="eastAsia" w:ascii="仿宋_GB2312" w:eastAsia="仿宋_GB2312"/>
          <w:sz w:val="32"/>
          <w:szCs w:val="32"/>
        </w:rPr>
        <w:t>主要原因是本单位无此项预算安排。</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新疆喀什地区英吉沙县环境保护局</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本单位无此项预算安排。</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1.3</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0"/>
      <w:bookmarkStart w:id="76"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1.3</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车辆保险费、维修费、加油费、过路费</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2</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本单位无此项预算安排</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新疆喀什地区英吉沙县环境保护局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1.5</w:t>
      </w:r>
      <w:r>
        <w:rPr>
          <w:rFonts w:hint="eastAsia" w:ascii="仿宋_GB2312" w:eastAsia="仿宋_GB2312"/>
          <w:color w:val="000000" w:themeColor="text1"/>
          <w:sz w:val="32"/>
          <w:szCs w:val="32"/>
        </w:rPr>
        <w:t>万元，决算数1.3万元</w:t>
      </w:r>
      <w:r>
        <w:rPr>
          <w:rFonts w:ascii="仿宋_GB2312" w:eastAsia="仿宋_GB2312"/>
          <w:color w:val="000000" w:themeColor="text1"/>
          <w:sz w:val="32"/>
          <w:szCs w:val="32"/>
        </w:rPr>
        <w:t>，预决算差异率-13.33%，差异主要原因是压缩开支。</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，预决算差异率0%，差异主要原因是本单位无此项预算安排；</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，预决算差异率0%，差异主要原因是本单位无此项预算安排；</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1.5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，预决算差异率-13.33%，差异主要原因是压缩开支；</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本单位无此项预算安排。</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2018年度新疆喀什地区英吉沙县环境保护局机关运行经费支出10.24万元，与上年相比，减少2.16万元，下降17.42%，减少的主要原因是：压缩经费开支。</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305.76</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200.96</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104.8</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9</w:t>
      </w:r>
      <w:r>
        <w:rPr>
          <w:rFonts w:hint="eastAsia" w:ascii="仿宋_GB2312" w:eastAsia="仿宋_GB2312"/>
          <w:color w:val="000000" w:themeColor="text1"/>
          <w:sz w:val="32"/>
          <w:szCs w:val="32"/>
        </w:rPr>
        <w:t>辆，价值</w:t>
      </w:r>
      <w:r>
        <w:rPr>
          <w:rFonts w:hint="eastAsia" w:ascii="仿宋_GB2312" w:eastAsia="仿宋_GB2312"/>
          <w:sz w:val="32"/>
          <w:szCs w:val="32"/>
        </w:rPr>
        <w:t>89.78</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2</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7</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用于乡镇购买的垃圾车、垃圾装载机等清洁卫生车辆；</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环境保护局2018年度部门预算总额为307.61万元，执行金额为307.61万元，预算执行率为100%。本次自评共涉及项目数5个，其中已完成项目5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b w:val="0"/>
          <w:color w:val="000000"/>
          <w:sz w:val="32"/>
          <w:u w:val="none"/>
        </w:rPr>
        <w:t>1、大气项目绩效自评综述：根据年初设定的绩效目标，该项目绩效自评得分为90分。项目全年预算数为3.42万元，执行数为3.42万元，完成预算的100%。主要产出和效果：按国家相关规范要求及时校准环境空气颗粒物(PM10、PM2.5)监测仪、环境空气气态污染物(SO2、NO2、O3、CO)分析仪和动态校准仪应，确保仪器误差在允许范围内。发现的问题及原因：完成预算数不高。下一步改进措施： 完成预算数不高，加强执行。</w:t>
      </w:r>
    </w:p>
    <w:p>
      <w:pPr>
        <w:spacing w:line="540" w:lineRule="exact"/>
        <w:ind w:left="-1" w:right="-1" w:firstLine="646"/>
        <w:jc w:val="left"/>
      </w:pPr>
      <w:r>
        <w:rPr>
          <w:rFonts w:ascii="仿宋_GB2312" w:hAnsi="仿宋_GB2312" w:eastAsia="仿宋_GB2312" w:cs="仿宋_GB2312"/>
          <w:b w:val="0"/>
          <w:color w:val="000000"/>
          <w:sz w:val="32"/>
          <w:u w:val="none"/>
        </w:rPr>
        <w:t>2、克孜勒乡1村环境整治试点建设项目绩效自评综述：根据年初设定的绩效目标，该项目绩效自评得分为95分。项目全年预算数为</w:t>
      </w:r>
      <w:r>
        <w:rPr>
          <w:rFonts w:hint="eastAsia" w:ascii="仿宋_GB2312" w:hAnsi="仿宋_GB2312" w:eastAsia="仿宋_GB2312" w:cs="仿宋_GB2312"/>
          <w:b w:val="0"/>
          <w:color w:val="000000"/>
          <w:sz w:val="32"/>
          <w:u w:val="none"/>
          <w:lang w:val="en-US" w:eastAsia="zh-CN"/>
        </w:rPr>
        <w:t>52.66</w:t>
      </w:r>
      <w:r>
        <w:rPr>
          <w:rFonts w:ascii="仿宋_GB2312" w:hAnsi="仿宋_GB2312" w:eastAsia="仿宋_GB2312" w:cs="仿宋_GB2312"/>
          <w:b w:val="0"/>
          <w:color w:val="000000"/>
          <w:sz w:val="32"/>
          <w:u w:val="none"/>
        </w:rPr>
        <w:t>万元，执行数为49.93万元，完成预算的</w:t>
      </w:r>
      <w:r>
        <w:rPr>
          <w:rFonts w:hint="eastAsia" w:ascii="仿宋_GB2312" w:hAnsi="仿宋_GB2312" w:eastAsia="仿宋_GB2312" w:cs="仿宋_GB2312"/>
          <w:b w:val="0"/>
          <w:color w:val="000000"/>
          <w:sz w:val="32"/>
          <w:u w:val="none"/>
          <w:lang w:val="en-US" w:eastAsia="zh-CN"/>
        </w:rPr>
        <w:t>95</w:t>
      </w:r>
      <w:bookmarkStart w:id="92" w:name="_GoBack"/>
      <w:bookmarkEnd w:id="92"/>
      <w:r>
        <w:rPr>
          <w:rFonts w:ascii="仿宋_GB2312" w:hAnsi="仿宋_GB2312" w:eastAsia="仿宋_GB2312" w:cs="仿宋_GB2312"/>
          <w:b w:val="0"/>
          <w:color w:val="000000"/>
          <w:sz w:val="32"/>
          <w:u w:val="none"/>
        </w:rPr>
        <w:t>%。主要产出和效果：受益群众1742人，村生活垃圾无害化处理量达38吨。发现的问题及原因：无。下一步改进措施：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3、农村环境整治项目绩效自评综述：根据年初设定的绩效目标，该项目绩效自评得分为95分。项目全年预算数为284.54万元，执行数为284.54万元，完成预算的100%。主要产出和效果：村人居环境整治个数 6个，村生活垃圾定点存放数量处68处，村生活垃圾无害化处理量238吨，受益户数2428户，受益人数10887人。发现的问题及原因：无。下一步改进措施：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4、重点功能区县域生态环境质量监测项目绩效自评综述：根据年初设定的绩效目标，该项目绩效自评得分为95分。项目全年预算数为66.9万元，执行数为66.9万元，完成预算的100%。主要产出和效果：完成了对县域生态环境监测包括水、空气、声环境质量和主要污染物排放强度等各项考核指标数据。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5、第二次全国污染源普查工作第三方服务项目绩效自评综述：根据年初设定的绩效目标，该项目绩效自评得分为91分。项目全年预算数为52.13万元，执行数为52.13万元，完成预算的100%。主要产出和效果：完成全县539家工业源、1个工业园区、2个集中式、278个生活源锅炉（一吨以上和一吨以下）、12家加油站、4家规模化畜禽养殖场入户调查、清查工作，基本掌握污染源排放情况及环保设施运行情况。发现的问题及原因：完成预算数不高。下一步改进措施： 完成预算数不高，加强执行。</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211（类）04（款）02（项）指：农村环境保护。221（类）02（款）01（项）指：住房公积金。213（类）05（款）04（项）指：农村基础设施建设。211（类）03（款）01（项）指：大气。211（类）01（款）01（项）指：行政运行。211（类）01（款）99（项）指：其他环境保护管理事务支出。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英吉沙县环境保护局</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3F5269F5"/>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D442CF"/>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EEE6B13"/>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8</TotalTime>
  <ScaleCrop>false</ScaleCrop>
  <LinksUpToDate>false</LinksUpToDate>
  <CharactersWithSpaces>7696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2021-07-13T16:43:09Z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88B17C7D3C4247DF93635581BCA9EDC0</vt:lpwstr>
  </property>
</Properties>
</file>